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主要内容（可另附件）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惠亚医院信息系统等级保护测评服务项目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F9A5356"/>
    <w:rsid w:val="34995FC8"/>
    <w:rsid w:val="47CA5FAD"/>
    <w:rsid w:val="4D165BC2"/>
    <w:rsid w:val="52526A21"/>
    <w:rsid w:val="60142666"/>
    <w:rsid w:val="639D623B"/>
    <w:rsid w:val="66F8206D"/>
    <w:rsid w:val="69595D0F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2022-03-16T09:32:44Z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947BC13169AB447395C9082136529797</vt:lpwstr>
  </property>
</Properties>
</file>